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keepLines/>
        <w:pageBreakBefore w:val="0"/>
        <w:widowControl w:val="0"/>
        <w:kinsoku/>
        <w:wordWrap/>
        <w:overflowPunct/>
        <w:topLinePunct w:val="0"/>
        <w:autoSpaceDE/>
        <w:autoSpaceDN/>
        <w:bidi w:val="0"/>
        <w:adjustRightInd/>
        <w:snapToGrid/>
        <w:spacing w:before="0" w:after="0" w:line="240" w:lineRule="auto"/>
        <w:jc w:val="center"/>
        <w:textAlignment w:val="auto"/>
        <w:outlineLvl w:val="2"/>
        <w:rPr>
          <w:rFonts w:hint="eastAsia" w:ascii="黑体" w:hAnsi="黑体" w:eastAsia="黑体" w:cs="黑体"/>
        </w:rPr>
      </w:pPr>
      <w:r>
        <w:rPr>
          <w:rFonts w:hint="eastAsia" w:ascii="黑体" w:hAnsi="黑体" w:eastAsia="黑体" w:cs="黑体"/>
        </w:rPr>
        <w:t>景德镇市</w:t>
      </w:r>
      <w:r>
        <w:rPr>
          <w:rFonts w:hint="eastAsia" w:ascii="黑体" w:hAnsi="黑体" w:eastAsia="黑体" w:cs="黑体"/>
          <w:lang w:val="en-US" w:eastAsia="zh-CN"/>
        </w:rPr>
        <w:t>政府驻上海联络处2020</w:t>
      </w:r>
      <w:r>
        <w:rPr>
          <w:rFonts w:hint="eastAsia" w:ascii="黑体" w:hAnsi="黑体" w:eastAsia="黑体" w:cs="黑体"/>
        </w:rPr>
        <w:t>年部门预算</w:t>
      </w:r>
    </w:p>
    <w:p>
      <w:pPr>
        <w:spacing w:before="240"/>
        <w:jc w:val="center"/>
        <w:rPr>
          <w:rFonts w:ascii="仿宋_GB2312" w:hAnsi="仿宋" w:eastAsia="仿宋_GB2312" w:cs="Times New Roman"/>
          <w:b/>
          <w:bCs/>
          <w:sz w:val="32"/>
          <w:szCs w:val="32"/>
        </w:rPr>
      </w:pPr>
      <w:r>
        <w:rPr>
          <w:rFonts w:hint="eastAsia" w:ascii="仿宋_GB2312" w:hAnsi="仿宋" w:eastAsia="仿宋_GB2312" w:cs="仿宋_GB2312"/>
          <w:b/>
          <w:bCs/>
          <w:sz w:val="32"/>
          <w:szCs w:val="32"/>
        </w:rPr>
        <w:t>目</w:t>
      </w:r>
      <w:r>
        <w:rPr>
          <w:rFonts w:ascii="仿宋_GB2312" w:hAnsi="仿宋" w:eastAsia="仿宋_GB2312" w:cs="仿宋_GB2312"/>
          <w:b/>
          <w:bCs/>
          <w:sz w:val="32"/>
          <w:szCs w:val="32"/>
        </w:rPr>
        <w:t xml:space="preserve">   </w:t>
      </w:r>
      <w:r>
        <w:rPr>
          <w:rFonts w:hint="eastAsia" w:ascii="仿宋_GB2312" w:hAnsi="仿宋" w:eastAsia="仿宋_GB2312" w:cs="仿宋_GB2312"/>
          <w:b/>
          <w:bCs/>
          <w:sz w:val="32"/>
          <w:szCs w:val="32"/>
        </w:rPr>
        <w:t>录</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val="en-US" w:eastAsia="zh-CN"/>
        </w:rPr>
        <w:t>政府驻上海联络处</w:t>
      </w:r>
      <w:r>
        <w:rPr>
          <w:rFonts w:hint="eastAsia" w:ascii="黑体" w:hAnsi="宋体" w:eastAsia="黑体" w:cs="黑体"/>
          <w:sz w:val="32"/>
          <w:szCs w:val="32"/>
        </w:rPr>
        <w:t>概况</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一、部门主要职责</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二、部门基本情况</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val="en-US" w:eastAsia="zh-CN"/>
        </w:rPr>
        <w:t>政府驻上海联络处2020</w:t>
      </w:r>
      <w:r>
        <w:rPr>
          <w:rFonts w:hint="eastAsia" w:ascii="黑体" w:hAnsi="宋体" w:eastAsia="黑体" w:cs="黑体"/>
          <w:sz w:val="32"/>
          <w:szCs w:val="32"/>
        </w:rPr>
        <w:t>年部门预算情况说明</w:t>
      </w:r>
    </w:p>
    <w:p>
      <w:pPr>
        <w:keepNext w:val="0"/>
        <w:keepLines w:val="0"/>
        <w:pageBreakBefore w:val="0"/>
        <w:widowControl w:val="0"/>
        <w:kinsoku/>
        <w:wordWrap/>
        <w:overflowPunct/>
        <w:topLinePunct w:val="0"/>
        <w:autoSpaceDE/>
        <w:autoSpaceDN/>
        <w:bidi w:val="0"/>
        <w:adjustRightInd/>
        <w:snapToGrid/>
        <w:spacing w:line="660" w:lineRule="exact"/>
        <w:ind w:firstLine="960" w:firstLineChars="3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一、</w:t>
      </w: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年部门预算收支情况说明</w:t>
      </w:r>
    </w:p>
    <w:p>
      <w:pPr>
        <w:keepNext w:val="0"/>
        <w:keepLines w:val="0"/>
        <w:pageBreakBefore w:val="0"/>
        <w:widowControl w:val="0"/>
        <w:kinsoku/>
        <w:wordWrap/>
        <w:overflowPunct/>
        <w:topLinePunct w:val="0"/>
        <w:autoSpaceDE/>
        <w:autoSpaceDN/>
        <w:bidi w:val="0"/>
        <w:adjustRightInd/>
        <w:snapToGrid/>
        <w:spacing w:line="660" w:lineRule="exact"/>
        <w:ind w:firstLine="960" w:firstLineChars="3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二、</w:t>
      </w: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年“三公”经费预算情况说明</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hAnsi="宋体" w:eastAsia="黑体" w:cs="Times New Roman"/>
          <w:sz w:val="32"/>
          <w:szCs w:val="32"/>
        </w:rPr>
      </w:pPr>
      <w:r>
        <w:rPr>
          <w:rFonts w:hint="eastAsia" w:ascii="黑体" w:hAnsi="宋体" w:eastAsia="黑体" w:cs="黑体"/>
          <w:sz w:val="32"/>
          <w:szCs w:val="32"/>
        </w:rPr>
        <w:t>第三部分景德镇市</w:t>
      </w:r>
      <w:r>
        <w:rPr>
          <w:rFonts w:hint="eastAsia" w:ascii="黑体" w:hAnsi="宋体" w:eastAsia="黑体" w:cs="黑体"/>
          <w:sz w:val="32"/>
          <w:szCs w:val="32"/>
          <w:lang w:val="en-US" w:eastAsia="zh-CN"/>
        </w:rPr>
        <w:t>政府驻上海联络处2020</w:t>
      </w:r>
      <w:r>
        <w:rPr>
          <w:rFonts w:hint="eastAsia" w:ascii="黑体" w:hAnsi="宋体" w:eastAsia="黑体" w:cs="黑体"/>
          <w:sz w:val="32"/>
          <w:szCs w:val="32"/>
        </w:rPr>
        <w:t>年部门预算表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一、《收支预算总表》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二、《部门收入总表》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三、《部门支出总表》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四、《财政拨款收支总表》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五、《一般公共预算支出表》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六、《一般公共预算基本支出表》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七、《一般公共预算“三公”经费支出表》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八、《政府性基金预算支出表》</w:t>
      </w:r>
    </w:p>
    <w:p>
      <w:pPr>
        <w:keepNext w:val="0"/>
        <w:keepLines w:val="0"/>
        <w:pageBreakBefore w:val="0"/>
        <w:widowControl w:val="0"/>
        <w:kinsoku/>
        <w:wordWrap/>
        <w:overflowPunct/>
        <w:topLinePunct w:val="0"/>
        <w:autoSpaceDE/>
        <w:autoSpaceDN/>
        <w:bidi w:val="0"/>
        <w:adjustRightInd/>
        <w:snapToGrid/>
        <w:spacing w:line="660" w:lineRule="exact"/>
        <w:textAlignment w:val="auto"/>
        <w:outlineLvl w:val="9"/>
        <w:rPr>
          <w:rFonts w:hint="eastAsia" w:ascii="黑体" w:hAnsi="宋体" w:eastAsia="黑体" w:cs="黑体"/>
          <w:sz w:val="32"/>
          <w:szCs w:val="32"/>
        </w:rPr>
      </w:pPr>
      <w:r>
        <w:rPr>
          <w:rFonts w:ascii="仿宋_GB2312" w:hAnsi="宋体" w:eastAsia="仿宋_GB2312" w:cs="仿宋_GB2312"/>
          <w:sz w:val="32"/>
          <w:szCs w:val="32"/>
        </w:rPr>
        <w:t xml:space="preserve">   </w:t>
      </w: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keepNext w:val="0"/>
        <w:keepLines w:val="0"/>
        <w:pageBreakBefore w:val="0"/>
        <w:widowControl w:val="0"/>
        <w:kinsoku/>
        <w:wordWrap/>
        <w:overflowPunct/>
        <w:topLinePunct w:val="0"/>
        <w:autoSpaceDE/>
        <w:autoSpaceDN/>
        <w:bidi w:val="0"/>
        <w:adjustRightInd/>
        <w:snapToGrid/>
        <w:spacing w:line="660" w:lineRule="exact"/>
        <w:jc w:val="both"/>
        <w:textAlignment w:val="auto"/>
        <w:outlineLvl w:val="9"/>
        <w:rPr>
          <w:rFonts w:hint="eastAsia" w:ascii="黑体" w:hAnsi="宋体" w:eastAsia="黑体" w:cs="黑体"/>
          <w:sz w:val="32"/>
          <w:szCs w:val="32"/>
        </w:rPr>
      </w:pPr>
    </w:p>
    <w:p>
      <w:pPr>
        <w:jc w:val="both"/>
        <w:rPr>
          <w:rFonts w:ascii="黑体" w:hAnsi="宋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val="en-US" w:eastAsia="zh-CN"/>
        </w:rPr>
        <w:t>政府驻上海联络处</w:t>
      </w:r>
      <w:r>
        <w:rPr>
          <w:rFonts w:hint="eastAsia" w:ascii="黑体" w:hAnsi="宋体" w:eastAsia="黑体" w:cs="黑体"/>
          <w:sz w:val="32"/>
          <w:szCs w:val="32"/>
        </w:rPr>
        <w:t>概况</w:t>
      </w:r>
    </w:p>
    <w:p>
      <w:pPr>
        <w:ind w:firstLine="630" w:firstLineChars="196"/>
        <w:rPr>
          <w:rFonts w:ascii="仿宋_GB2312" w:eastAsia="仿宋_GB2312" w:cs="Times New Roman"/>
          <w:b/>
          <w:bCs/>
          <w:sz w:val="32"/>
          <w:szCs w:val="32"/>
        </w:rPr>
      </w:pPr>
      <w:r>
        <w:rPr>
          <w:rFonts w:hint="eastAsia" w:ascii="仿宋_GB2312" w:hAnsi="宋体" w:eastAsia="仿宋_GB2312" w:cs="仿宋_GB2312"/>
          <w:b/>
          <w:bCs/>
          <w:sz w:val="32"/>
          <w:szCs w:val="32"/>
        </w:rPr>
        <w:t>一、部门主要职责</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主要职责是：</w:t>
      </w:r>
    </w:p>
    <w:p>
      <w:pPr>
        <w:ind w:firstLine="630"/>
        <w:jc w:val="left"/>
        <w:rPr>
          <w:rFonts w:ascii="仿宋" w:hAnsi="仿宋" w:eastAsia="仿宋"/>
          <w:sz w:val="30"/>
          <w:szCs w:val="30"/>
        </w:rPr>
      </w:pPr>
      <w:r>
        <w:rPr>
          <w:rFonts w:hint="eastAsia" w:ascii="仿宋" w:hAnsi="仿宋" w:eastAsia="仿宋"/>
          <w:sz w:val="30"/>
          <w:szCs w:val="30"/>
        </w:rPr>
        <w:t>（一）负责我市在上海的重大政务、经济以及其他活动的组织、联络、协作工作。</w:t>
      </w:r>
    </w:p>
    <w:p>
      <w:pPr>
        <w:ind w:firstLine="630"/>
        <w:jc w:val="left"/>
        <w:rPr>
          <w:rFonts w:ascii="仿宋" w:hAnsi="仿宋" w:eastAsia="仿宋"/>
          <w:sz w:val="30"/>
          <w:szCs w:val="30"/>
        </w:rPr>
      </w:pPr>
      <w:r>
        <w:rPr>
          <w:rFonts w:hint="eastAsia" w:ascii="仿宋" w:hAnsi="仿宋" w:eastAsia="仿宋"/>
          <w:sz w:val="30"/>
          <w:szCs w:val="30"/>
        </w:rPr>
        <w:t>（二）建立信息网络，接受市政府及有关部门委托进行专题调研和信息采集及咨询，沟通两地信息，为市领导及其他有关部门科学决策，提供信息参考和咨询服务。</w:t>
      </w:r>
    </w:p>
    <w:p>
      <w:pPr>
        <w:ind w:firstLine="630"/>
        <w:jc w:val="left"/>
        <w:rPr>
          <w:rFonts w:ascii="仿宋" w:hAnsi="仿宋" w:eastAsia="仿宋"/>
          <w:spacing w:val="-20"/>
          <w:w w:val="98"/>
          <w:sz w:val="30"/>
          <w:szCs w:val="30"/>
        </w:rPr>
      </w:pPr>
      <w:r>
        <w:rPr>
          <w:rFonts w:hint="eastAsia" w:ascii="仿宋" w:hAnsi="仿宋" w:eastAsia="仿宋"/>
          <w:sz w:val="30"/>
          <w:szCs w:val="30"/>
        </w:rPr>
        <w:t>（三）</w:t>
      </w:r>
      <w:r>
        <w:rPr>
          <w:rFonts w:hint="eastAsia" w:ascii="仿宋" w:hAnsi="仿宋" w:eastAsia="仿宋"/>
          <w:spacing w:val="-20"/>
          <w:w w:val="98"/>
          <w:sz w:val="30"/>
          <w:szCs w:val="30"/>
        </w:rPr>
        <w:t>同</w:t>
      </w:r>
      <w:r>
        <w:rPr>
          <w:rFonts w:hint="eastAsia" w:ascii="仿宋" w:hAnsi="仿宋" w:eastAsia="仿宋"/>
          <w:w w:val="98"/>
          <w:sz w:val="30"/>
          <w:szCs w:val="30"/>
        </w:rPr>
        <w:t>驻在地上海的外商、外资机构进行业务联系，广泛联络上海各方面人士，发挥景德镇籍和曾在景德镇工作过人士的作用</w:t>
      </w:r>
      <w:r>
        <w:rPr>
          <w:rFonts w:hint="eastAsia" w:ascii="仿宋" w:hAnsi="仿宋" w:eastAsia="仿宋"/>
          <w:spacing w:val="-20"/>
          <w:w w:val="98"/>
          <w:sz w:val="30"/>
          <w:szCs w:val="30"/>
        </w:rPr>
        <w:t>。</w:t>
      </w:r>
    </w:p>
    <w:p>
      <w:pPr>
        <w:ind w:firstLine="630"/>
        <w:jc w:val="left"/>
        <w:rPr>
          <w:rFonts w:ascii="仿宋_GB2312" w:eastAsia="仿宋_GB2312" w:cs="Times New Roman"/>
          <w:b/>
          <w:bCs/>
          <w:sz w:val="32"/>
          <w:szCs w:val="32"/>
        </w:rPr>
      </w:pPr>
      <w:r>
        <w:rPr>
          <w:rFonts w:hint="eastAsia" w:ascii="仿宋" w:hAnsi="仿宋" w:eastAsia="仿宋"/>
          <w:sz w:val="30"/>
          <w:szCs w:val="30"/>
        </w:rPr>
        <w:t>（四）负责我市领导及离退休老同志来沪的接待服务及承办市政府交办的其他事项。</w:t>
      </w:r>
    </w:p>
    <w:p>
      <w:pPr>
        <w:ind w:firstLine="600" w:firstLineChars="200"/>
        <w:rPr>
          <w:rFonts w:hint="default" w:ascii="仿宋_GB2312" w:hAnsi="宋体" w:eastAsia="仿宋" w:cs="仿宋_GB2312"/>
          <w:sz w:val="32"/>
          <w:szCs w:val="32"/>
          <w:lang w:val="en-US" w:eastAsia="zh-CN"/>
        </w:rPr>
      </w:pPr>
      <w:r>
        <w:rPr>
          <w:rFonts w:hint="eastAsia" w:ascii="仿宋" w:hAnsi="仿宋" w:eastAsia="仿宋"/>
          <w:sz w:val="30"/>
          <w:szCs w:val="30"/>
        </w:rPr>
        <w:t>纳入本套部门</w:t>
      </w:r>
      <w:r>
        <w:rPr>
          <w:rFonts w:hint="eastAsia" w:ascii="仿宋" w:hAnsi="仿宋" w:eastAsia="仿宋"/>
          <w:sz w:val="30"/>
          <w:szCs w:val="30"/>
          <w:lang w:val="en-US" w:eastAsia="zh-CN"/>
        </w:rPr>
        <w:t>预算</w:t>
      </w:r>
      <w:r>
        <w:rPr>
          <w:rFonts w:hint="eastAsia" w:ascii="仿宋" w:hAnsi="仿宋" w:eastAsia="仿宋"/>
          <w:sz w:val="30"/>
          <w:szCs w:val="30"/>
        </w:rPr>
        <w:t>汇编范围的单位共</w:t>
      </w:r>
      <w:r>
        <w:rPr>
          <w:rFonts w:ascii="仿宋" w:hAnsi="仿宋" w:eastAsia="仿宋"/>
          <w:sz w:val="30"/>
          <w:szCs w:val="30"/>
        </w:rPr>
        <w:t>1</w:t>
      </w:r>
      <w:r>
        <w:rPr>
          <w:rFonts w:hint="eastAsia" w:ascii="仿宋" w:hAnsi="仿宋" w:eastAsia="仿宋"/>
          <w:sz w:val="30"/>
          <w:szCs w:val="30"/>
        </w:rPr>
        <w:t>个，即景德镇市人民政府驻上海联络处（本级）。编制人数</w:t>
      </w:r>
      <w:r>
        <w:rPr>
          <w:rFonts w:ascii="仿宋" w:hAnsi="仿宋" w:eastAsia="仿宋"/>
          <w:sz w:val="30"/>
          <w:szCs w:val="30"/>
        </w:rPr>
        <w:t>7</w:t>
      </w:r>
      <w:r>
        <w:rPr>
          <w:rFonts w:hint="eastAsia" w:ascii="仿宋" w:hAnsi="仿宋" w:eastAsia="仿宋"/>
          <w:sz w:val="30"/>
          <w:szCs w:val="30"/>
        </w:rPr>
        <w:t>人，其中</w:t>
      </w:r>
      <w:r>
        <w:rPr>
          <w:rFonts w:hint="eastAsia" w:ascii="仿宋" w:hAnsi="仿宋" w:eastAsia="仿宋"/>
          <w:sz w:val="30"/>
          <w:szCs w:val="30"/>
          <w:lang w:val="en-US" w:eastAsia="zh-CN"/>
        </w:rPr>
        <w:t>参照公务员管理事业编制7人。实有人数10人，其中在职7人，包括行政人员、参照公务员管理7人；退休3人。</w:t>
      </w:r>
    </w:p>
    <w:p>
      <w:pPr>
        <w:ind w:firstLine="640" w:firstLineChars="200"/>
        <w:rPr>
          <w:rFonts w:hint="eastAsia" w:ascii="仿宋_GB2312" w:hAnsi="宋体" w:eastAsia="仿宋_GB2312" w:cs="仿宋_GB2312"/>
          <w:sz w:val="32"/>
          <w:szCs w:val="32"/>
        </w:rPr>
      </w:pPr>
    </w:p>
    <w:p>
      <w:pPr>
        <w:jc w:val="both"/>
        <w:rPr>
          <w:rFonts w:ascii="黑体" w:hAnsi="宋体" w:eastAsia="黑体" w:cs="Times New Roman"/>
          <w:sz w:val="32"/>
          <w:szCs w:val="32"/>
        </w:rPr>
      </w:pPr>
      <w:r>
        <w:rPr>
          <w:rFonts w:hint="eastAsia" w:ascii="黑体" w:hAnsi="宋体" w:eastAsia="黑体" w:cs="黑体"/>
          <w:sz w:val="32"/>
          <w:szCs w:val="32"/>
        </w:rPr>
        <w:t>第二部分景德镇市</w:t>
      </w:r>
      <w:r>
        <w:rPr>
          <w:rFonts w:hint="eastAsia" w:ascii="黑体" w:hAnsi="宋体" w:eastAsia="黑体" w:cs="黑体"/>
          <w:sz w:val="32"/>
          <w:szCs w:val="32"/>
          <w:lang w:val="en-US" w:eastAsia="zh-CN"/>
        </w:rPr>
        <w:t>政府驻上海联络处2020年</w:t>
      </w:r>
      <w:r>
        <w:rPr>
          <w:rFonts w:hint="eastAsia" w:ascii="黑体" w:hAnsi="宋体" w:eastAsia="黑体" w:cs="黑体"/>
          <w:sz w:val="32"/>
          <w:szCs w:val="32"/>
        </w:rPr>
        <w:t>部门预算情况说明</w:t>
      </w:r>
    </w:p>
    <w:p>
      <w:pPr>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rPr>
        <w:t>一、</w:t>
      </w:r>
      <w:r>
        <w:rPr>
          <w:rFonts w:hint="eastAsia" w:ascii="仿宋_GB2312" w:hAnsi="宋体" w:eastAsia="仿宋_GB2312" w:cs="仿宋_GB2312"/>
          <w:b/>
          <w:bCs/>
          <w:sz w:val="32"/>
          <w:szCs w:val="32"/>
          <w:lang w:val="en-US" w:eastAsia="zh-CN"/>
        </w:rPr>
        <w:t>2020</w:t>
      </w:r>
      <w:r>
        <w:rPr>
          <w:rFonts w:hint="eastAsia" w:ascii="仿宋_GB2312" w:hAnsi="宋体" w:eastAsia="仿宋_GB2312" w:cs="仿宋_GB2312"/>
          <w:b/>
          <w:bCs/>
          <w:sz w:val="32"/>
          <w:szCs w:val="32"/>
        </w:rPr>
        <w:t>年部门预算收支情况说明</w:t>
      </w:r>
    </w:p>
    <w:p>
      <w:pPr>
        <w:ind w:firstLine="482" w:firstLineChars="150"/>
        <w:rPr>
          <w:rFonts w:ascii="仿宋_GB2312" w:eastAsia="仿宋_GB2312" w:cs="Times New Roman"/>
          <w:sz w:val="32"/>
          <w:szCs w:val="32"/>
        </w:rPr>
      </w:pPr>
      <w:r>
        <w:rPr>
          <w:rFonts w:hint="eastAsia" w:ascii="仿宋_GB2312" w:hAnsi="宋体" w:eastAsia="仿宋_GB2312" w:cs="仿宋_GB2312"/>
          <w:b/>
          <w:bCs/>
          <w:sz w:val="32"/>
          <w:szCs w:val="32"/>
        </w:rPr>
        <w:t>（一）预算收入情况</w:t>
      </w:r>
    </w:p>
    <w:p>
      <w:pPr>
        <w:ind w:firstLine="600"/>
        <w:rPr>
          <w:rFonts w:ascii="仿宋_GB2312" w:eastAsia="仿宋_GB2312" w:cs="Times New Roman"/>
          <w:sz w:val="32"/>
          <w:szCs w:val="32"/>
        </w:rPr>
      </w:pPr>
      <w:r>
        <w:rPr>
          <w:rFonts w:hint="eastAsia" w:ascii="仿宋_GB2312" w:hAnsi="宋体" w:eastAsia="仿宋_GB2312" w:cs="仿宋_GB2312"/>
          <w:sz w:val="32"/>
          <w:szCs w:val="32"/>
          <w:lang w:eastAsia="zh-CN"/>
        </w:rPr>
        <w:t>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val="en-US" w:eastAsia="zh-CN"/>
        </w:rPr>
        <w:t>景德镇市政府驻上海联络处</w:t>
      </w:r>
      <w:r>
        <w:rPr>
          <w:rFonts w:hint="eastAsia" w:ascii="仿宋_GB2312" w:hAnsi="宋体" w:eastAsia="仿宋_GB2312" w:cs="仿宋_GB2312"/>
          <w:sz w:val="32"/>
          <w:szCs w:val="32"/>
        </w:rPr>
        <w:t>收入预算总额为</w:t>
      </w:r>
      <w:r>
        <w:rPr>
          <w:rFonts w:hint="eastAsia" w:ascii="仿宋_GB2312" w:hAnsi="宋体" w:eastAsia="仿宋_GB2312" w:cs="仿宋_GB2312"/>
          <w:sz w:val="32"/>
          <w:szCs w:val="32"/>
          <w:lang w:val="en-US" w:eastAsia="zh-CN"/>
        </w:rPr>
        <w:t>329.48</w:t>
      </w:r>
      <w:r>
        <w:rPr>
          <w:rFonts w:hint="eastAsia" w:ascii="仿宋_GB2312" w:hAnsi="宋体" w:eastAsia="仿宋_GB2312" w:cs="仿宋_GB2312"/>
          <w:sz w:val="32"/>
          <w:szCs w:val="32"/>
        </w:rPr>
        <w:t>万元，与上年预算相比增减变化，说明情况。其中：当年公共财政拨款收入</w:t>
      </w:r>
      <w:r>
        <w:rPr>
          <w:rFonts w:hint="eastAsia" w:ascii="仿宋_GB2312" w:hAnsi="宋体" w:eastAsia="仿宋_GB2312" w:cs="仿宋_GB2312"/>
          <w:sz w:val="32"/>
          <w:szCs w:val="32"/>
          <w:lang w:val="en-US" w:eastAsia="zh-CN"/>
        </w:rPr>
        <w:t>239.48</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72.68</w:t>
      </w:r>
      <w:r>
        <w:rPr>
          <w:rFonts w:ascii="仿宋_GB2312" w:hAnsi="宋体" w:eastAsia="仿宋_GB2312" w:cs="仿宋_GB2312"/>
          <w:sz w:val="32"/>
          <w:szCs w:val="32"/>
        </w:rPr>
        <w:t>%</w:t>
      </w:r>
      <w:r>
        <w:rPr>
          <w:rFonts w:hint="eastAsia" w:ascii="仿宋_GB2312" w:hAnsi="宋体" w:eastAsia="仿宋_GB2312" w:cs="仿宋_GB2312"/>
          <w:sz w:val="32"/>
          <w:szCs w:val="32"/>
        </w:rPr>
        <w:t>；政府性基金拨款收入</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；事业收入</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；事业单位经营收入</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；当年其他各项收入</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；上年结余结转收入</w:t>
      </w:r>
      <w:r>
        <w:rPr>
          <w:rFonts w:hint="eastAsia" w:ascii="仿宋_GB2312" w:hAnsi="宋体" w:eastAsia="仿宋_GB2312" w:cs="仿宋_GB2312"/>
          <w:sz w:val="32"/>
          <w:szCs w:val="32"/>
          <w:lang w:val="en-US" w:eastAsia="zh-CN"/>
        </w:rPr>
        <w:t>90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27.32</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（二）预算支出情况</w:t>
      </w:r>
    </w:p>
    <w:p>
      <w:pPr>
        <w:ind w:firstLine="640" w:firstLineChars="200"/>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val="en-US" w:eastAsia="zh-CN"/>
        </w:rPr>
        <w:t>景德镇市政府驻上海联络处</w:t>
      </w:r>
      <w:r>
        <w:rPr>
          <w:rFonts w:hint="eastAsia" w:ascii="仿宋_GB2312" w:hAnsi="宋体" w:eastAsia="仿宋_GB2312" w:cs="仿宋_GB2312"/>
          <w:sz w:val="32"/>
          <w:szCs w:val="32"/>
        </w:rPr>
        <w:t>支出预算总额为</w:t>
      </w:r>
      <w:r>
        <w:rPr>
          <w:rFonts w:hint="eastAsia" w:ascii="仿宋_GB2312" w:hAnsi="宋体" w:eastAsia="仿宋_GB2312" w:cs="仿宋_GB2312"/>
          <w:sz w:val="32"/>
          <w:szCs w:val="32"/>
          <w:lang w:val="en-US" w:eastAsia="zh-CN"/>
        </w:rPr>
        <w:t>329.48</w:t>
      </w:r>
      <w:r>
        <w:rPr>
          <w:rFonts w:hint="eastAsia" w:ascii="仿宋_GB2312" w:hAnsi="宋体" w:eastAsia="仿宋_GB2312" w:cs="仿宋_GB2312"/>
          <w:sz w:val="32"/>
          <w:szCs w:val="32"/>
        </w:rPr>
        <w:t>万元，与上年预算相比</w:t>
      </w:r>
      <w:r>
        <w:rPr>
          <w:rFonts w:hint="eastAsia" w:ascii="仿宋_GB2312" w:hAnsi="宋体" w:eastAsia="仿宋_GB2312" w:cs="仿宋_GB2312"/>
          <w:sz w:val="32"/>
          <w:szCs w:val="32"/>
          <w:lang w:val="en-US" w:eastAsia="zh-CN"/>
        </w:rPr>
        <w:t>减少117万元。</w:t>
      </w:r>
      <w:r>
        <w:rPr>
          <w:rFonts w:hint="eastAsia" w:ascii="仿宋_GB2312" w:hAnsi="宋体" w:eastAsia="仿宋_GB2312" w:cs="仿宋_GB2312"/>
          <w:sz w:val="32"/>
          <w:szCs w:val="32"/>
        </w:rPr>
        <w:t>其中：按支出项目类别划分：基本支出</w:t>
      </w:r>
      <w:r>
        <w:rPr>
          <w:rFonts w:hint="eastAsia" w:ascii="仿宋_GB2312" w:hAnsi="宋体" w:eastAsia="仿宋_GB2312" w:cs="仿宋_GB2312"/>
          <w:sz w:val="32"/>
          <w:szCs w:val="32"/>
          <w:lang w:val="en-US" w:eastAsia="zh-CN"/>
        </w:rPr>
        <w:t>274.48</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83.31</w:t>
      </w:r>
      <w:r>
        <w:rPr>
          <w:rFonts w:ascii="仿宋_GB2312" w:hAnsi="宋体" w:eastAsia="仿宋_GB2312" w:cs="仿宋_GB2312"/>
          <w:sz w:val="32"/>
          <w:szCs w:val="32"/>
        </w:rPr>
        <w:t>%</w:t>
      </w:r>
      <w:r>
        <w:rPr>
          <w:rFonts w:hint="eastAsia" w:ascii="仿宋_GB2312" w:hAnsi="宋体" w:eastAsia="仿宋_GB2312" w:cs="仿宋_GB2312"/>
          <w:sz w:val="32"/>
          <w:szCs w:val="32"/>
        </w:rPr>
        <w:t>，包括工资福利支出</w:t>
      </w:r>
      <w:r>
        <w:rPr>
          <w:rFonts w:hint="eastAsia" w:ascii="仿宋_GB2312" w:hAnsi="宋体" w:eastAsia="仿宋_GB2312" w:cs="仿宋_GB2312"/>
          <w:sz w:val="32"/>
          <w:szCs w:val="32"/>
          <w:lang w:val="en-US" w:eastAsia="zh-CN"/>
        </w:rPr>
        <w:t>221.81</w:t>
      </w:r>
      <w:r>
        <w:rPr>
          <w:rFonts w:hint="eastAsia" w:ascii="仿宋_GB2312" w:hAnsi="宋体" w:eastAsia="仿宋_GB2312" w:cs="仿宋_GB2312"/>
          <w:sz w:val="32"/>
          <w:szCs w:val="32"/>
        </w:rPr>
        <w:t>万元、商品和服务支出</w:t>
      </w:r>
      <w:r>
        <w:rPr>
          <w:rFonts w:hint="eastAsia" w:ascii="仿宋_GB2312" w:hAnsi="宋体" w:eastAsia="仿宋_GB2312" w:cs="仿宋_GB2312"/>
          <w:sz w:val="32"/>
          <w:szCs w:val="32"/>
          <w:lang w:val="en-US" w:eastAsia="zh-CN"/>
        </w:rPr>
        <w:t>32.67</w:t>
      </w:r>
      <w:r>
        <w:rPr>
          <w:rFonts w:hint="eastAsia" w:ascii="仿宋_GB2312" w:hAnsi="宋体" w:eastAsia="仿宋_GB2312" w:cs="仿宋_GB2312"/>
          <w:sz w:val="32"/>
          <w:szCs w:val="32"/>
        </w:rPr>
        <w:t>万元、对个人和家庭的补助</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万元、其他资本性支出</w:t>
      </w:r>
      <w:r>
        <w:rPr>
          <w:rFonts w:hint="eastAsia" w:ascii="仿宋_GB2312" w:hAnsi="宋体" w:eastAsia="仿宋_GB2312" w:cs="仿宋_GB2312"/>
          <w:sz w:val="32"/>
          <w:szCs w:val="32"/>
          <w:lang w:val="en-US" w:eastAsia="zh-CN"/>
        </w:rPr>
        <w:t>20</w:t>
      </w:r>
      <w:r>
        <w:rPr>
          <w:rFonts w:hint="eastAsia" w:ascii="仿宋_GB2312" w:hAnsi="宋体" w:eastAsia="仿宋_GB2312" w:cs="仿宋_GB2312"/>
          <w:sz w:val="32"/>
          <w:szCs w:val="32"/>
        </w:rPr>
        <w:t>万元；项目支出</w:t>
      </w:r>
      <w:r>
        <w:rPr>
          <w:rFonts w:hint="eastAsia" w:ascii="仿宋_GB2312" w:hAnsi="宋体" w:eastAsia="仿宋_GB2312" w:cs="仿宋_GB2312"/>
          <w:sz w:val="32"/>
          <w:szCs w:val="32"/>
          <w:lang w:val="en-US" w:eastAsia="zh-CN"/>
        </w:rPr>
        <w:t>55</w:t>
      </w:r>
      <w:r>
        <w:rPr>
          <w:rFonts w:hint="eastAsia" w:ascii="仿宋_GB2312" w:hAnsi="宋体" w:eastAsia="仿宋_GB2312" w:cs="仿宋_GB2312"/>
          <w:sz w:val="32"/>
          <w:szCs w:val="32"/>
        </w:rPr>
        <w:t>万元，占支出总额的</w:t>
      </w:r>
      <w:r>
        <w:rPr>
          <w:rFonts w:hint="eastAsia" w:ascii="仿宋_GB2312" w:hAnsi="宋体" w:eastAsia="仿宋_GB2312" w:cs="仿宋_GB2312"/>
          <w:sz w:val="32"/>
          <w:szCs w:val="32"/>
          <w:lang w:val="en-US" w:eastAsia="zh-CN"/>
        </w:rPr>
        <w:t>16.69</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w:t>
      </w:r>
    </w:p>
    <w:p>
      <w:pPr>
        <w:ind w:firstLine="640" w:firstLineChars="200"/>
        <w:rPr>
          <w:rFonts w:hint="default" w:ascii="仿宋_GB2312" w:hAnsi="宋体" w:eastAsia="仿宋_GB2312" w:cs="仿宋_GB2312"/>
          <w:sz w:val="32"/>
          <w:szCs w:val="32"/>
          <w:lang w:val="en-US" w:eastAsia="zh-CN"/>
        </w:rPr>
      </w:pPr>
      <w:r>
        <w:rPr>
          <w:rFonts w:hint="eastAsia" w:ascii="仿宋_GB2312" w:hAnsi="宋体" w:eastAsia="仿宋_GB2312" w:cs="仿宋_GB2312"/>
          <w:sz w:val="32"/>
          <w:szCs w:val="32"/>
        </w:rPr>
        <w:t>按支出功能项目科目划分：一般公共服务</w:t>
      </w:r>
      <w:r>
        <w:rPr>
          <w:rFonts w:hint="eastAsia" w:ascii="仿宋_GB2312" w:hAnsi="宋体" w:eastAsia="仿宋_GB2312" w:cs="仿宋_GB2312"/>
          <w:sz w:val="32"/>
          <w:szCs w:val="32"/>
          <w:lang w:val="en-US" w:eastAsia="zh-CN"/>
        </w:rPr>
        <w:t>205.03</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85.61</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val="en-US" w:eastAsia="zh-CN"/>
        </w:rPr>
        <w:t>社会保障和就业支出13.66</w:t>
      </w:r>
      <w:r>
        <w:rPr>
          <w:rFonts w:hint="eastAsia" w:ascii="仿宋_GB2312" w:hAnsi="宋体" w:eastAsia="仿宋_GB2312" w:cs="仿宋_GB2312"/>
          <w:sz w:val="32"/>
          <w:szCs w:val="32"/>
        </w:rPr>
        <w:t>万元</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占支出预算总额的</w:t>
      </w:r>
      <w:r>
        <w:rPr>
          <w:rFonts w:hint="eastAsia" w:ascii="仿宋_GB2312" w:hAnsi="宋体" w:eastAsia="仿宋_GB2312" w:cs="仿宋_GB2312"/>
          <w:sz w:val="32"/>
          <w:szCs w:val="32"/>
          <w:lang w:val="en-US" w:eastAsia="zh-CN"/>
        </w:rPr>
        <w:t>5.7</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val="en-US" w:eastAsia="zh-CN"/>
        </w:rPr>
        <w:t>卫生健康支出10.85万元，占公共财政拨款支出预算的4.53%；住房保障支出9.94万元，占公共财政拨款支出预算的4.15%。</w:t>
      </w:r>
    </w:p>
    <w:p>
      <w:pPr>
        <w:ind w:firstLine="640" w:firstLineChars="200"/>
        <w:rPr>
          <w:rFonts w:hint="default" w:ascii="仿宋_GB2312" w:eastAsia="仿宋_GB2312" w:cs="Times New Roman"/>
          <w:sz w:val="32"/>
          <w:szCs w:val="32"/>
          <w:lang w:val="en-US" w:eastAsia="zh-CN"/>
        </w:rPr>
      </w:pPr>
      <w:r>
        <w:rPr>
          <w:rFonts w:hint="eastAsia" w:ascii="仿宋_GB2312" w:hAnsi="宋体" w:eastAsia="仿宋_GB2312" w:cs="仿宋_GB2312"/>
          <w:sz w:val="32"/>
          <w:szCs w:val="32"/>
        </w:rPr>
        <w:t>按支出经济分类划分：工资福利支出</w:t>
      </w:r>
      <w:r>
        <w:rPr>
          <w:rFonts w:hint="eastAsia" w:ascii="仿宋_GB2312" w:hAnsi="宋体" w:eastAsia="仿宋_GB2312" w:cs="仿宋_GB2312"/>
          <w:sz w:val="32"/>
          <w:szCs w:val="32"/>
          <w:lang w:val="en-US" w:eastAsia="zh-CN"/>
        </w:rPr>
        <w:t>221.81</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67.32</w:t>
      </w:r>
      <w:r>
        <w:rPr>
          <w:rFonts w:ascii="仿宋_GB2312" w:hAnsi="宋体" w:eastAsia="仿宋_GB2312" w:cs="仿宋_GB2312"/>
          <w:sz w:val="32"/>
          <w:szCs w:val="32"/>
        </w:rPr>
        <w:t>%</w:t>
      </w:r>
      <w:r>
        <w:rPr>
          <w:rFonts w:hint="eastAsia" w:ascii="仿宋_GB2312" w:hAnsi="宋体" w:eastAsia="仿宋_GB2312" w:cs="仿宋_GB2312"/>
          <w:sz w:val="32"/>
          <w:szCs w:val="32"/>
        </w:rPr>
        <w:t>；商品和服务支出</w:t>
      </w:r>
      <w:r>
        <w:rPr>
          <w:rFonts w:hint="eastAsia" w:ascii="仿宋_GB2312" w:hAnsi="宋体" w:eastAsia="仿宋_GB2312" w:cs="仿宋_GB2312"/>
          <w:sz w:val="32"/>
          <w:szCs w:val="32"/>
          <w:lang w:val="en-US" w:eastAsia="zh-CN"/>
        </w:rPr>
        <w:t>32.67</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9.92</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val="en-US" w:eastAsia="zh-CN"/>
        </w:rPr>
        <w:t>其他资本性支出20万，占支出预算总额的6.07%。</w:t>
      </w:r>
    </w:p>
    <w:p>
      <w:pPr>
        <w:widowControl/>
        <w:spacing w:line="600" w:lineRule="exact"/>
        <w:ind w:firstLine="640"/>
        <w:jc w:val="left"/>
        <w:rPr>
          <w:rFonts w:ascii="仿宋_GB2312" w:eastAsia="仿宋_GB2312" w:cs="Times New Roman"/>
          <w:b/>
          <w:bCs/>
          <w:sz w:val="32"/>
          <w:szCs w:val="32"/>
        </w:rPr>
      </w:pPr>
      <w:r>
        <w:rPr>
          <w:rFonts w:hint="eastAsia" w:ascii="仿宋_GB2312" w:hAnsi="宋体" w:eastAsia="仿宋_GB2312" w:cs="仿宋_GB2312"/>
          <w:b/>
          <w:bCs/>
          <w:sz w:val="32"/>
          <w:szCs w:val="32"/>
        </w:rPr>
        <w:t>（三）</w:t>
      </w:r>
      <w:r>
        <w:rPr>
          <w:rFonts w:hint="eastAsia" w:ascii="仿宋_GB2312" w:eastAsia="仿宋_GB2312"/>
          <w:b/>
          <w:color w:val="000000"/>
          <w:sz w:val="32"/>
          <w:szCs w:val="30"/>
        </w:rPr>
        <w:t>财政拨款支出情况</w:t>
      </w:r>
    </w:p>
    <w:p>
      <w:pPr>
        <w:keepNext w:val="0"/>
        <w:keepLines w:val="0"/>
        <w:pageBreakBefore w:val="0"/>
        <w:widowControl w:val="0"/>
        <w:kinsoku/>
        <w:wordWrap/>
        <w:overflowPunct/>
        <w:topLinePunct w:val="0"/>
        <w:autoSpaceDE/>
        <w:autoSpaceDN/>
        <w:bidi w:val="0"/>
        <w:adjustRightInd/>
        <w:snapToGrid/>
        <w:spacing w:line="386" w:lineRule="exact"/>
        <w:ind w:firstLine="640" w:firstLineChars="200"/>
        <w:textAlignment w:val="auto"/>
        <w:rPr>
          <w:rFonts w:hint="eastAsia" w:ascii="仿宋_GB2312" w:hAnsi="仿宋_GB2312" w:eastAsia="仿宋_GB2312" w:cs="仿宋_GB2312"/>
          <w:sz w:val="28"/>
          <w:szCs w:val="28"/>
        </w:rPr>
      </w:pPr>
      <w:r>
        <w:rPr>
          <w:rFonts w:hint="eastAsia" w:ascii="仿宋_GB2312" w:hAnsi="宋体" w:eastAsia="仿宋_GB2312" w:cs="仿宋_GB2312"/>
          <w:sz w:val="32"/>
          <w:szCs w:val="32"/>
          <w:lang w:eastAsia="zh-CN"/>
        </w:rPr>
        <w:t>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val="en-US" w:eastAsia="zh-CN"/>
        </w:rPr>
        <w:t>景德镇市政府驻上海联络处</w:t>
      </w:r>
      <w:r>
        <w:rPr>
          <w:rFonts w:hint="eastAsia" w:ascii="仿宋_GB2312" w:hAnsi="宋体" w:eastAsia="仿宋_GB2312" w:cs="仿宋_GB2312"/>
          <w:sz w:val="32"/>
          <w:szCs w:val="32"/>
          <w:lang w:eastAsia="zh-CN"/>
        </w:rPr>
        <w:t>财政拨款</w:t>
      </w:r>
      <w:r>
        <w:rPr>
          <w:rFonts w:hint="eastAsia" w:ascii="仿宋_GB2312" w:hAnsi="宋体" w:eastAsia="仿宋_GB2312" w:cs="仿宋_GB2312"/>
          <w:sz w:val="32"/>
          <w:szCs w:val="32"/>
        </w:rPr>
        <w:t>支出预算</w:t>
      </w:r>
      <w:r>
        <w:rPr>
          <w:rFonts w:hint="eastAsia" w:ascii="仿宋_GB2312" w:hAnsi="宋体" w:eastAsia="仿宋_GB2312" w:cs="仿宋_GB2312"/>
          <w:sz w:val="32"/>
          <w:szCs w:val="32"/>
          <w:lang w:val="en-US" w:eastAsia="zh-CN"/>
        </w:rPr>
        <w:t>239.48</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72.68</w:t>
      </w:r>
      <w:r>
        <w:rPr>
          <w:rFonts w:ascii="仿宋_GB2312" w:hAnsi="宋体" w:eastAsia="仿宋_GB2312" w:cs="仿宋_GB2312"/>
          <w:sz w:val="32"/>
          <w:szCs w:val="32"/>
        </w:rPr>
        <w:t>%</w:t>
      </w:r>
      <w:r>
        <w:rPr>
          <w:rFonts w:hint="eastAsia" w:ascii="仿宋_GB2312" w:hAnsi="宋体" w:eastAsia="仿宋_GB2312" w:cs="仿宋_GB2312"/>
          <w:sz w:val="32"/>
          <w:szCs w:val="32"/>
        </w:rPr>
        <w:t>，与上年预算相比减</w:t>
      </w:r>
      <w:r>
        <w:rPr>
          <w:rFonts w:hint="eastAsia" w:ascii="仿宋_GB2312" w:hAnsi="宋体" w:eastAsia="仿宋_GB2312" w:cs="仿宋_GB2312"/>
          <w:sz w:val="32"/>
          <w:szCs w:val="32"/>
          <w:lang w:val="en-US" w:eastAsia="zh-CN"/>
        </w:rPr>
        <w:t>少9万元。</w:t>
      </w:r>
      <w:r>
        <w:rPr>
          <w:rFonts w:hint="eastAsia" w:ascii="仿宋_GB2312" w:hAnsi="宋体" w:eastAsia="仿宋_GB2312" w:cs="仿宋_GB2312"/>
          <w:sz w:val="32"/>
          <w:szCs w:val="32"/>
        </w:rPr>
        <w:t>具体支出情况是：</w:t>
      </w:r>
      <w:r>
        <w:rPr>
          <w:rFonts w:hint="eastAsia" w:ascii="仿宋_GB2312" w:hAnsi="仿宋_GB2312" w:eastAsia="仿宋_GB2312" w:cs="仿宋_GB2312"/>
          <w:sz w:val="28"/>
          <w:szCs w:val="28"/>
        </w:rPr>
        <w:t>按支出功能科目分类:</w:t>
      </w:r>
    </w:p>
    <w:p>
      <w:pPr>
        <w:keepNext w:val="0"/>
        <w:keepLines w:val="0"/>
        <w:pageBreakBefore w:val="0"/>
        <w:widowControl w:val="0"/>
        <w:kinsoku/>
        <w:wordWrap/>
        <w:overflowPunct/>
        <w:topLinePunct w:val="0"/>
        <w:autoSpaceDE/>
        <w:autoSpaceDN/>
        <w:bidi w:val="0"/>
        <w:adjustRightInd/>
        <w:snapToGrid/>
        <w:spacing w:line="386" w:lineRule="exact"/>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一</w:t>
      </w:r>
      <w:r>
        <w:rPr>
          <w:rFonts w:hint="eastAsia" w:ascii="仿宋_GB2312" w:hAnsi="仿宋_GB2312" w:eastAsia="仿宋_GB2312" w:cs="仿宋_GB2312"/>
          <w:spacing w:val="-11"/>
          <w:sz w:val="28"/>
          <w:szCs w:val="28"/>
        </w:rPr>
        <w:t>般公共服务支出205.03万元</w:t>
      </w:r>
      <w:r>
        <w:rPr>
          <w:rFonts w:hint="eastAsia" w:ascii="仿宋_GB2312" w:hAnsi="仿宋_GB2312" w:eastAsia="仿宋_GB2312" w:cs="仿宋_GB2312"/>
          <w:spacing w:val="-11"/>
          <w:sz w:val="28"/>
          <w:szCs w:val="28"/>
          <w:lang w:eastAsia="zh-CN"/>
        </w:rPr>
        <w:t>，</w:t>
      </w:r>
      <w:r>
        <w:rPr>
          <w:rFonts w:hint="eastAsia" w:ascii="仿宋_GB2312" w:hAnsi="仿宋_GB2312" w:eastAsia="仿宋_GB2312" w:cs="仿宋_GB2312"/>
          <w:spacing w:val="-11"/>
          <w:sz w:val="28"/>
          <w:szCs w:val="28"/>
        </w:rPr>
        <w:t>占公共财政拨款支出预算的85.61%</w:t>
      </w:r>
      <w:r>
        <w:rPr>
          <w:rFonts w:hint="eastAsia" w:ascii="仿宋_GB2312" w:hAnsi="仿宋_GB2312" w:eastAsia="仿宋_GB2312" w:cs="仿宋_GB2312"/>
          <w:spacing w:val="-11"/>
          <w:sz w:val="28"/>
          <w:szCs w:val="28"/>
          <w:lang w:eastAsia="zh-CN"/>
        </w:rPr>
        <w:t>。</w:t>
      </w:r>
    </w:p>
    <w:p>
      <w:pPr>
        <w:keepNext w:val="0"/>
        <w:keepLines w:val="0"/>
        <w:pageBreakBefore w:val="0"/>
        <w:widowControl w:val="0"/>
        <w:kinsoku/>
        <w:wordWrap/>
        <w:overflowPunct/>
        <w:topLinePunct w:val="0"/>
        <w:autoSpaceDE/>
        <w:autoSpaceDN/>
        <w:bidi w:val="0"/>
        <w:adjustRightInd/>
        <w:snapToGrid/>
        <w:spacing w:line="386" w:lineRule="exact"/>
        <w:ind w:firstLine="560" w:firstLineChars="200"/>
        <w:textAlignment w:val="auto"/>
        <w:rPr>
          <w:rFonts w:hint="eastAsia" w:ascii="仿宋_GB2312" w:hAnsi="仿宋_GB2312" w:eastAsia="仿宋_GB2312" w:cs="仿宋_GB2312"/>
          <w:spacing w:val="-11"/>
          <w:sz w:val="28"/>
          <w:szCs w:val="28"/>
          <w:lang w:eastAsia="zh-CN"/>
        </w:rPr>
      </w:pPr>
      <w:r>
        <w:rPr>
          <w:rFonts w:hint="eastAsia" w:ascii="仿宋_GB2312" w:hAnsi="仿宋_GB2312" w:eastAsia="仿宋_GB2312" w:cs="仿宋_GB2312"/>
          <w:sz w:val="28"/>
          <w:szCs w:val="28"/>
        </w:rPr>
        <w:t>社</w:t>
      </w:r>
      <w:r>
        <w:rPr>
          <w:rFonts w:hint="eastAsia" w:ascii="仿宋_GB2312" w:hAnsi="仿宋_GB2312" w:eastAsia="仿宋_GB2312" w:cs="仿宋_GB2312"/>
          <w:spacing w:val="-11"/>
          <w:sz w:val="28"/>
          <w:szCs w:val="28"/>
        </w:rPr>
        <w:t>会保障和就业支出13.66万元</w:t>
      </w:r>
      <w:r>
        <w:rPr>
          <w:rFonts w:hint="eastAsia" w:ascii="仿宋_GB2312" w:hAnsi="仿宋_GB2312" w:eastAsia="仿宋_GB2312" w:cs="仿宋_GB2312"/>
          <w:spacing w:val="-11"/>
          <w:sz w:val="28"/>
          <w:szCs w:val="28"/>
          <w:lang w:eastAsia="zh-CN"/>
        </w:rPr>
        <w:t>，</w:t>
      </w:r>
      <w:r>
        <w:rPr>
          <w:rFonts w:hint="eastAsia" w:ascii="仿宋_GB2312" w:hAnsi="仿宋_GB2312" w:eastAsia="仿宋_GB2312" w:cs="仿宋_GB2312"/>
          <w:spacing w:val="-11"/>
          <w:sz w:val="28"/>
          <w:szCs w:val="28"/>
        </w:rPr>
        <w:t>占公共财政拨款支出预算的5.70%</w:t>
      </w:r>
      <w:r>
        <w:rPr>
          <w:rFonts w:hint="eastAsia" w:ascii="仿宋_GB2312" w:hAnsi="仿宋_GB2312" w:eastAsia="仿宋_GB2312" w:cs="仿宋_GB2312"/>
          <w:spacing w:val="-11"/>
          <w:sz w:val="28"/>
          <w:szCs w:val="28"/>
          <w:lang w:eastAsia="zh-CN"/>
        </w:rPr>
        <w:t>。</w:t>
      </w:r>
    </w:p>
    <w:p>
      <w:pPr>
        <w:keepNext w:val="0"/>
        <w:keepLines w:val="0"/>
        <w:pageBreakBefore w:val="0"/>
        <w:widowControl w:val="0"/>
        <w:kinsoku/>
        <w:wordWrap/>
        <w:overflowPunct/>
        <w:topLinePunct w:val="0"/>
        <w:autoSpaceDE/>
        <w:autoSpaceDN/>
        <w:bidi w:val="0"/>
        <w:adjustRightInd/>
        <w:snapToGrid/>
        <w:spacing w:line="386" w:lineRule="exact"/>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卫生健康支出10.85万元</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占公共财政拨款支出预算的4.53%</w:t>
      </w:r>
      <w:r>
        <w:rPr>
          <w:rFonts w:hint="eastAsia" w:ascii="仿宋_GB2312" w:hAnsi="仿宋_GB2312" w:eastAsia="仿宋_GB2312" w:cs="仿宋_GB2312"/>
          <w:sz w:val="28"/>
          <w:szCs w:val="28"/>
          <w:lang w:eastAsia="zh-CN"/>
        </w:rPr>
        <w:t>。</w:t>
      </w:r>
    </w:p>
    <w:p>
      <w:pPr>
        <w:keepNext w:val="0"/>
        <w:keepLines w:val="0"/>
        <w:pageBreakBefore w:val="0"/>
        <w:widowControl w:val="0"/>
        <w:kinsoku/>
        <w:wordWrap/>
        <w:overflowPunct/>
        <w:topLinePunct w:val="0"/>
        <w:autoSpaceDE/>
        <w:autoSpaceDN/>
        <w:bidi w:val="0"/>
        <w:adjustRightInd/>
        <w:snapToGrid/>
        <w:spacing w:line="386" w:lineRule="exact"/>
        <w:ind w:firstLine="560" w:firstLineChars="200"/>
        <w:textAlignment w:val="auto"/>
        <w:rPr>
          <w:rFonts w:ascii="仿宋_GB2312" w:eastAsia="仿宋_GB2312" w:cs="Times New Roman"/>
          <w:sz w:val="32"/>
          <w:szCs w:val="32"/>
        </w:rPr>
      </w:pPr>
      <w:r>
        <w:rPr>
          <w:rFonts w:hint="eastAsia" w:ascii="仿宋_GB2312" w:hAnsi="仿宋_GB2312" w:eastAsia="仿宋_GB2312" w:cs="仿宋_GB2312"/>
          <w:sz w:val="28"/>
          <w:szCs w:val="28"/>
        </w:rPr>
        <w:t>住房保障支出9.94万元</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占公共财政拨款支出预算的4.15%</w:t>
      </w:r>
      <w:r>
        <w:rPr>
          <w:rFonts w:hint="eastAsia" w:ascii="仿宋_GB2312" w:hAnsi="仿宋_GB2312" w:eastAsia="仿宋_GB2312" w:cs="仿宋_GB2312"/>
          <w:sz w:val="28"/>
          <w:szCs w:val="28"/>
          <w:lang w:eastAsia="zh-CN"/>
        </w:rPr>
        <w:t>。</w:t>
      </w:r>
    </w:p>
    <w:p>
      <w:pPr>
        <w:numPr>
          <w:ilvl w:val="0"/>
          <w:numId w:val="1"/>
        </w:numPr>
        <w:ind w:left="540"/>
        <w:rPr>
          <w:rFonts w:ascii="仿宋_GB2312" w:eastAsia="仿宋_GB2312" w:cs="Times New Roman"/>
          <w:b/>
          <w:bCs/>
          <w:sz w:val="32"/>
          <w:szCs w:val="32"/>
        </w:rPr>
      </w:pPr>
      <w:r>
        <w:rPr>
          <w:rFonts w:hint="eastAsia" w:ascii="仿宋_GB2312" w:hAnsi="宋体" w:eastAsia="仿宋_GB2312" w:cs="仿宋_GB2312"/>
          <w:b/>
          <w:bCs/>
          <w:sz w:val="32"/>
          <w:szCs w:val="32"/>
        </w:rPr>
        <w:t>政府采购预算情况</w:t>
      </w:r>
    </w:p>
    <w:p>
      <w:pPr>
        <w:keepNext w:val="0"/>
        <w:keepLines w:val="0"/>
        <w:pageBreakBefore w:val="0"/>
        <w:widowControl w:val="0"/>
        <w:kinsoku/>
        <w:wordWrap/>
        <w:overflowPunct/>
        <w:topLinePunct w:val="0"/>
        <w:autoSpaceDE/>
        <w:autoSpaceDN/>
        <w:bidi w:val="0"/>
        <w:adjustRightInd/>
        <w:snapToGrid/>
        <w:spacing w:line="386" w:lineRule="exact"/>
        <w:ind w:firstLine="560" w:firstLineChars="200"/>
        <w:textAlignment w:val="auto"/>
        <w:rPr>
          <w:rFonts w:ascii="仿宋_GB2312" w:eastAsia="仿宋_GB2312" w:cs="Times New Roman"/>
          <w:b/>
          <w:bCs/>
          <w:sz w:val="32"/>
          <w:szCs w:val="32"/>
        </w:rPr>
      </w:pPr>
      <w:r>
        <w:rPr>
          <w:rFonts w:hint="eastAsia" w:ascii="仿宋_GB2312" w:hAnsi="仿宋_GB2312" w:eastAsia="仿宋_GB2312" w:cs="仿宋_GB2312"/>
          <w:sz w:val="28"/>
          <w:szCs w:val="28"/>
        </w:rPr>
        <w:t>2020年政府采购预算为10.00万元</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其中:部门分散采购10.00万元。</w:t>
      </w:r>
      <w:r>
        <w:rPr>
          <w:rFonts w:hint="eastAsia" w:ascii="仿宋_GB2312" w:hAnsi="仿宋_GB2312" w:eastAsia="仿宋_GB2312" w:cs="仿宋_GB2312"/>
          <w:sz w:val="28"/>
          <w:szCs w:val="28"/>
          <w:lang w:val="en-US" w:eastAsia="zh-CN"/>
        </w:rPr>
        <w:t>与上年对比增加10。00万元。今年搬新大楼办公，去年没有做采购预算。</w:t>
      </w:r>
    </w:p>
    <w:p>
      <w:pPr>
        <w:tabs>
          <w:tab w:val="left" w:pos="1162"/>
        </w:tabs>
        <w:ind w:left="420" w:leftChars="200" w:firstLine="321" w:firstLineChars="100"/>
        <w:rPr>
          <w:rFonts w:ascii="仿宋_GB2312" w:eastAsia="仿宋_GB2312" w:cs="Times New Roman"/>
          <w:b/>
          <w:bCs/>
          <w:sz w:val="32"/>
          <w:szCs w:val="32"/>
        </w:rPr>
      </w:pPr>
      <w:r>
        <w:rPr>
          <w:rFonts w:hint="eastAsia" w:ascii="仿宋_GB2312" w:hAnsi="宋体" w:eastAsia="仿宋_GB2312" w:cs="仿宋_GB2312"/>
          <w:b/>
          <w:bCs/>
          <w:sz w:val="32"/>
          <w:szCs w:val="32"/>
        </w:rPr>
        <w:t>（五）政府基金收支情况</w:t>
      </w:r>
    </w:p>
    <w:p>
      <w:pPr>
        <w:ind w:firstLine="640" w:firstLineChars="200"/>
        <w:rPr>
          <w:rFonts w:hint="default"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无政府基金收支</w:t>
      </w:r>
    </w:p>
    <w:p>
      <w:pPr>
        <w:tabs>
          <w:tab w:val="left" w:pos="1113"/>
        </w:tabs>
        <w:ind w:firstLine="643" w:firstLineChars="200"/>
        <w:rPr>
          <w:rFonts w:ascii="仿宋_GB2312" w:eastAsia="仿宋_GB2312" w:cs="Times New Roman"/>
          <w:sz w:val="32"/>
          <w:szCs w:val="32"/>
        </w:rPr>
      </w:pPr>
      <w:r>
        <w:rPr>
          <w:rFonts w:hint="eastAsia" w:ascii="仿宋_GB2312" w:hAnsi="宋体" w:eastAsia="仿宋_GB2312" w:cs="仿宋_GB2312"/>
          <w:b/>
          <w:bCs/>
          <w:sz w:val="32"/>
          <w:szCs w:val="32"/>
          <w:lang w:eastAsia="zh-CN"/>
        </w:rPr>
        <w:t>（六）</w:t>
      </w:r>
      <w:r>
        <w:rPr>
          <w:rFonts w:hint="eastAsia" w:ascii="仿宋_GB2312" w:hAnsi="宋体" w:eastAsia="仿宋_GB2312" w:cs="仿宋_GB2312"/>
          <w:b/>
          <w:bCs/>
          <w:sz w:val="32"/>
          <w:szCs w:val="32"/>
          <w:lang w:val="en-US" w:eastAsia="zh-CN"/>
        </w:rPr>
        <w:t>2020</w:t>
      </w:r>
      <w:r>
        <w:rPr>
          <w:rFonts w:hint="eastAsia" w:ascii="仿宋_GB2312" w:hAnsi="宋体" w:eastAsia="仿宋_GB2312" w:cs="仿宋_GB2312"/>
          <w:b/>
          <w:bCs/>
          <w:sz w:val="32"/>
          <w:szCs w:val="32"/>
        </w:rPr>
        <w:t>年“三公”经费预算情况说明</w:t>
      </w:r>
    </w:p>
    <w:p>
      <w:pPr>
        <w:ind w:firstLine="640" w:firstLineChars="200"/>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val="en-US" w:eastAsia="zh-CN"/>
        </w:rPr>
        <w:t>景德镇市政府驻上海联络处</w:t>
      </w:r>
      <w:r>
        <w:rPr>
          <w:rFonts w:hint="eastAsia" w:ascii="仿宋_GB2312" w:hAnsi="宋体" w:eastAsia="仿宋_GB2312" w:cs="仿宋_GB2312"/>
          <w:sz w:val="32"/>
          <w:szCs w:val="32"/>
        </w:rPr>
        <w:t>“三公”经费年初预算安排</w:t>
      </w:r>
      <w:r>
        <w:rPr>
          <w:rFonts w:hint="eastAsia" w:ascii="仿宋_GB2312" w:hAnsi="宋体" w:eastAsia="仿宋_GB2312" w:cs="仿宋_GB2312"/>
          <w:sz w:val="32"/>
          <w:szCs w:val="32"/>
          <w:lang w:val="en-US" w:eastAsia="zh-CN"/>
        </w:rPr>
        <w:t>6.68</w:t>
      </w:r>
      <w:r>
        <w:rPr>
          <w:rFonts w:hint="eastAsia" w:ascii="仿宋_GB2312" w:hAnsi="宋体" w:eastAsia="仿宋_GB2312" w:cs="仿宋_GB2312"/>
          <w:sz w:val="32"/>
          <w:szCs w:val="32"/>
        </w:rPr>
        <w:t>万元。其中：</w:t>
      </w:r>
      <w:r>
        <w:rPr>
          <w:rFonts w:hint="eastAsia" w:ascii="仿宋_GB2312" w:hAnsi="宋体" w:eastAsia="仿宋_GB2312" w:cs="仿宋_GB2312"/>
          <w:sz w:val="32"/>
          <w:szCs w:val="32"/>
          <w:lang w:val="en-US" w:eastAsia="zh-CN"/>
        </w:rPr>
        <w:t>公务接待1.50万元</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val="en-US" w:eastAsia="zh-CN"/>
        </w:rPr>
        <w:t>公务用车购置及运行费用5.18万元。与上年无变化。</w:t>
      </w:r>
    </w:p>
    <w:p>
      <w:pPr>
        <w:jc w:val="both"/>
        <w:rPr>
          <w:rFonts w:ascii="黑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val="en-US" w:eastAsia="zh-CN"/>
        </w:rPr>
        <w:t>政府驻上海联络处2020</w:t>
      </w:r>
      <w:r>
        <w:rPr>
          <w:rFonts w:hint="eastAsia" w:ascii="黑体" w:hAnsi="宋体" w:eastAsia="黑体" w:cs="黑体"/>
          <w:sz w:val="32"/>
          <w:szCs w:val="32"/>
        </w:rPr>
        <w:t>年部门预算表</w:t>
      </w:r>
    </w:p>
    <w:p>
      <w:pPr>
        <w:ind w:firstLine="640" w:firstLineChars="200"/>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（详见附表）</w:t>
      </w:r>
    </w:p>
    <w:p>
      <w:pPr>
        <w:rPr>
          <w:rFonts w:hint="eastAsia" w:ascii="仿宋_GB2312" w:hAnsi="宋体" w:eastAsia="仿宋_GB2312" w:cs="仿宋_GB2312"/>
          <w:sz w:val="32"/>
          <w:szCs w:val="32"/>
          <w:shd w:val="clear" w:color="FFFFFF" w:fill="D9D9D9"/>
        </w:rPr>
      </w:pPr>
    </w:p>
    <w:p>
      <w:pPr>
        <w:jc w:val="both"/>
        <w:rPr>
          <w:rFonts w:ascii="仿宋_GB2312" w:eastAsia="仿宋_GB2312" w:cs="Times New Roman"/>
          <w:b/>
          <w:bCs/>
          <w:sz w:val="32"/>
          <w:szCs w:val="32"/>
        </w:rPr>
      </w:pP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widowControl/>
        <w:spacing w:line="600" w:lineRule="exact"/>
        <w:ind w:firstLine="640"/>
        <w:jc w:val="left"/>
        <w:rPr>
          <w:rFonts w:hint="eastAsia" w:ascii="仿宋_GB2312" w:eastAsia="仿宋_GB2312"/>
          <w:b/>
          <w:bCs/>
          <w:color w:val="000000"/>
          <w:sz w:val="32"/>
          <w:szCs w:val="30"/>
        </w:rPr>
      </w:pPr>
      <w:r>
        <w:rPr>
          <w:rFonts w:hint="eastAsia" w:ascii="仿宋_GB2312" w:eastAsia="仿宋_GB2312"/>
          <w:b/>
          <w:bCs/>
          <w:color w:val="000000"/>
          <w:sz w:val="32"/>
          <w:szCs w:val="30"/>
        </w:rPr>
        <w:t>一、收入科目</w:t>
      </w:r>
    </w:p>
    <w:p>
      <w:pPr>
        <w:widowControl/>
        <w:spacing w:line="600" w:lineRule="exact"/>
        <w:ind w:firstLine="640"/>
        <w:jc w:val="left"/>
        <w:rPr>
          <w:rFonts w:hint="eastAsia" w:ascii="仿宋_GB2312" w:eastAsia="仿宋_GB2312"/>
          <w:color w:val="000000"/>
          <w:sz w:val="32"/>
          <w:szCs w:val="30"/>
        </w:rPr>
      </w:pPr>
      <w:r>
        <w:rPr>
          <w:rFonts w:hint="eastAsia" w:ascii="仿宋_GB2312" w:eastAsia="仿宋_GB2312"/>
          <w:color w:val="000000"/>
          <w:sz w:val="32"/>
          <w:szCs w:val="30"/>
        </w:rPr>
        <w:t>各部门结合实际进行解释。</w:t>
      </w:r>
    </w:p>
    <w:p>
      <w:pPr>
        <w:widowControl/>
        <w:spacing w:line="600" w:lineRule="exact"/>
        <w:ind w:firstLine="640"/>
        <w:jc w:val="left"/>
        <w:rPr>
          <w:rFonts w:hint="eastAsia" w:ascii="仿宋_GB2312" w:eastAsia="仿宋_GB2312"/>
          <w:color w:val="000000"/>
          <w:sz w:val="32"/>
          <w:szCs w:val="30"/>
        </w:rPr>
      </w:pPr>
      <w:r>
        <w:rPr>
          <w:rFonts w:hint="eastAsia" w:ascii="仿宋_GB2312" w:eastAsia="仿宋_GB2312"/>
          <w:color w:val="000000"/>
          <w:sz w:val="32"/>
          <w:szCs w:val="30"/>
        </w:rPr>
        <w:t>（一）财政拨款：指</w:t>
      </w:r>
      <w:r>
        <w:rPr>
          <w:rFonts w:hint="eastAsia" w:ascii="仿宋_GB2312" w:eastAsia="仿宋_GB2312"/>
          <w:color w:val="000000"/>
          <w:sz w:val="32"/>
          <w:szCs w:val="30"/>
          <w:lang w:eastAsia="zh-CN"/>
        </w:rPr>
        <w:t>市级</w:t>
      </w:r>
      <w:r>
        <w:rPr>
          <w:rFonts w:hint="eastAsia" w:ascii="仿宋_GB2312" w:eastAsia="仿宋_GB2312"/>
          <w:color w:val="000000"/>
          <w:sz w:val="32"/>
          <w:szCs w:val="30"/>
        </w:rPr>
        <w:t>财政当年拨付的资金。</w:t>
      </w:r>
    </w:p>
    <w:p>
      <w:pPr>
        <w:widowControl/>
        <w:spacing w:line="600" w:lineRule="exact"/>
        <w:ind w:firstLine="636"/>
        <w:jc w:val="left"/>
        <w:rPr>
          <w:rFonts w:hint="eastAsia" w:ascii="仿宋_GB2312" w:eastAsia="仿宋_GB2312"/>
          <w:color w:val="000000"/>
          <w:sz w:val="32"/>
          <w:szCs w:val="30"/>
        </w:rPr>
      </w:pPr>
      <w:r>
        <w:rPr>
          <w:rFonts w:hint="eastAsia" w:ascii="仿宋_GB2312" w:eastAsia="仿宋_GB2312"/>
          <w:color w:val="000000"/>
          <w:sz w:val="32"/>
          <w:szCs w:val="30"/>
        </w:rPr>
        <w:t>（二）事业收入：指事业单位开展专业业务活动及辅助活动取得的收入。</w:t>
      </w:r>
    </w:p>
    <w:p>
      <w:pPr>
        <w:widowControl/>
        <w:spacing w:line="600" w:lineRule="exact"/>
        <w:ind w:firstLine="636"/>
        <w:jc w:val="left"/>
        <w:rPr>
          <w:rFonts w:hint="eastAsia" w:ascii="仿宋_GB2312" w:eastAsia="仿宋_GB2312"/>
          <w:color w:val="000000"/>
          <w:sz w:val="32"/>
          <w:szCs w:val="30"/>
        </w:rPr>
      </w:pPr>
      <w:r>
        <w:rPr>
          <w:rFonts w:hint="eastAsia" w:ascii="仿宋_GB2312" w:eastAsia="仿宋_GB2312"/>
          <w:color w:val="000000"/>
          <w:sz w:val="32"/>
          <w:szCs w:val="30"/>
        </w:rPr>
        <w:t>（三）事业单位经营收入：指事业单位在专业业务活动及辅助活动之外开展非独立核算经营活动取得的收入。</w:t>
      </w:r>
    </w:p>
    <w:p>
      <w:pPr>
        <w:widowControl/>
        <w:spacing w:line="600" w:lineRule="exact"/>
        <w:ind w:firstLine="636"/>
        <w:jc w:val="left"/>
        <w:rPr>
          <w:rFonts w:hint="eastAsia" w:ascii="仿宋_GB2312" w:eastAsia="仿宋_GB2312"/>
          <w:color w:val="000000"/>
          <w:sz w:val="32"/>
          <w:szCs w:val="30"/>
        </w:rPr>
      </w:pPr>
      <w:r>
        <w:rPr>
          <w:rFonts w:hint="eastAsia" w:ascii="仿宋_GB2312" w:eastAsia="仿宋_GB2312"/>
          <w:color w:val="000000"/>
          <w:sz w:val="32"/>
          <w:szCs w:val="30"/>
        </w:rPr>
        <w:t>（四）其他收入：指除财政拨款、事业收入、事业单位经营收入等以外的各项收入。</w:t>
      </w:r>
    </w:p>
    <w:p>
      <w:pPr>
        <w:spacing w:line="600" w:lineRule="exact"/>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（五）附属单位上缴收入：反映事业单位附属的独立核算单位按规定标准或比例缴纳的各项收入。包括附属的事业单位上缴的收入和附属的企业上缴的利润等。</w:t>
      </w:r>
    </w:p>
    <w:p>
      <w:pPr>
        <w:spacing w:line="600" w:lineRule="exact"/>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（六）上级补助收入：反映事业单位从主管部门和上级单位取得的非财政补助收入。</w:t>
      </w:r>
    </w:p>
    <w:p>
      <w:pPr>
        <w:spacing w:line="600" w:lineRule="exact"/>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（七）用事业基金弥补收支差额：填列事业单位用事业基金弥补2020年收支差额的数额。</w:t>
      </w:r>
    </w:p>
    <w:p>
      <w:pPr>
        <w:spacing w:line="600" w:lineRule="exact"/>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（八）上年结转和结余：填列2019年全部结转和结余的资金数，包括当年结转结余资金和历年滚存结转结余资金。</w:t>
      </w:r>
    </w:p>
    <w:p>
      <w:pPr>
        <w:widowControl/>
        <w:spacing w:line="600" w:lineRule="exact"/>
        <w:ind w:firstLine="640"/>
        <w:jc w:val="left"/>
        <w:rPr>
          <w:rFonts w:hint="eastAsia" w:ascii="仿宋_GB2312" w:eastAsia="仿宋_GB2312"/>
          <w:b/>
          <w:bCs/>
          <w:color w:val="000000"/>
          <w:sz w:val="32"/>
          <w:szCs w:val="30"/>
        </w:rPr>
      </w:pPr>
      <w:r>
        <w:rPr>
          <w:rFonts w:hint="eastAsia" w:ascii="仿宋_GB2312" w:eastAsia="仿宋_GB2312"/>
          <w:b/>
          <w:bCs/>
          <w:color w:val="000000"/>
          <w:sz w:val="32"/>
          <w:szCs w:val="30"/>
        </w:rPr>
        <w:t>二、支出科目</w:t>
      </w:r>
    </w:p>
    <w:p>
      <w:pPr>
        <w:rPr>
          <w:rFonts w:hint="eastAsia" w:ascii="仿宋_GB2312" w:eastAsia="仿宋_GB2312" w:cs="Times New Roman"/>
          <w:sz w:val="32"/>
          <w:szCs w:val="32"/>
        </w:rPr>
      </w:pPr>
      <w:r>
        <w:rPr>
          <w:rFonts w:hint="eastAsia" w:ascii="仿宋_GB2312" w:eastAsia="仿宋_GB2312" w:cs="Times New Roman"/>
          <w:sz w:val="32"/>
          <w:szCs w:val="32"/>
        </w:rPr>
        <w:t>二、支出科目</w:t>
      </w:r>
    </w:p>
    <w:p>
      <w:pPr>
        <w:rPr>
          <w:rFonts w:hint="eastAsia" w:ascii="仿宋_GB2312" w:eastAsia="仿宋_GB2312" w:cs="Times New Roman"/>
          <w:sz w:val="32"/>
          <w:szCs w:val="32"/>
        </w:rPr>
      </w:pPr>
      <w:r>
        <w:rPr>
          <w:rFonts w:hint="eastAsia" w:ascii="仿宋_GB2312" w:eastAsia="仿宋_GB2312" w:cs="Times New Roman"/>
          <w:sz w:val="32"/>
          <w:szCs w:val="32"/>
        </w:rPr>
        <w:t>(一)一般公共安全(类)</w:t>
      </w:r>
    </w:p>
    <w:p>
      <w:pPr>
        <w:rPr>
          <w:rFonts w:hint="eastAsia" w:ascii="仿宋_GB2312" w:eastAsia="仿宋_GB2312" w:cs="Times New Roman"/>
          <w:sz w:val="32"/>
          <w:szCs w:val="32"/>
        </w:rPr>
      </w:pPr>
      <w:r>
        <w:rPr>
          <w:rFonts w:hint="eastAsia" w:ascii="仿宋_GB2312" w:eastAsia="仿宋_GB2312" w:cs="Times New Roman"/>
          <w:sz w:val="32"/>
          <w:szCs w:val="32"/>
        </w:rPr>
        <w:t>行政运行(项):指用于保障机构正常运行、开展日常工作的基本支出其他法院支出(页) :指反映除上述项目以外其他拥有法院方面的支出。</w:t>
      </w:r>
    </w:p>
    <w:p>
      <w:pPr>
        <w:rPr>
          <w:rFonts w:hint="eastAsia" w:ascii="仿宋_GB2312" w:eastAsia="仿宋_GB2312" w:cs="Times New Roman"/>
          <w:sz w:val="32"/>
          <w:szCs w:val="32"/>
        </w:rPr>
      </w:pPr>
      <w:r>
        <w:rPr>
          <w:rFonts w:hint="eastAsia" w:ascii="仿宋_GB2312" w:eastAsia="仿宋_GB2312" w:cs="Times New Roman"/>
          <w:sz w:val="32"/>
          <w:szCs w:val="32"/>
        </w:rPr>
        <w:t>(二)社会保障和就业支出(类)行政事业单位养老支出(款)</w:t>
      </w:r>
    </w:p>
    <w:p>
      <w:pPr>
        <w:rPr>
          <w:rFonts w:hint="eastAsia" w:ascii="仿宋_GB2312" w:eastAsia="仿宋_GB2312" w:cs="Times New Roman"/>
          <w:sz w:val="32"/>
          <w:szCs w:val="32"/>
          <w:lang w:eastAsia="zh-CN"/>
        </w:rPr>
      </w:pPr>
      <w:r>
        <w:rPr>
          <w:rFonts w:hint="eastAsia" w:ascii="仿宋_GB2312" w:eastAsia="仿宋_GB2312" w:cs="Times New Roman"/>
          <w:sz w:val="32"/>
          <w:szCs w:val="32"/>
        </w:rPr>
        <w:t>机关事业单位基本养老保险缴费支出(顷页):指反映机关事业单位实施养老保险制度由单位缴纳的基本养老保险费支出</w:t>
      </w:r>
      <w:r>
        <w:rPr>
          <w:rFonts w:hint="eastAsia" w:ascii="仿宋_GB2312" w:eastAsia="仿宋_GB2312" w:cs="Times New Roman"/>
          <w:sz w:val="32"/>
          <w:szCs w:val="32"/>
          <w:lang w:eastAsia="zh-CN"/>
        </w:rPr>
        <w:t>。</w:t>
      </w:r>
    </w:p>
    <w:p>
      <w:pPr>
        <w:rPr>
          <w:rFonts w:hint="eastAsia" w:ascii="仿宋_GB2312" w:eastAsia="仿宋_GB2312" w:cs="Times New Roman"/>
          <w:sz w:val="32"/>
          <w:szCs w:val="32"/>
          <w:lang w:eastAsia="zh-CN"/>
        </w:rPr>
      </w:pPr>
      <w:r>
        <w:rPr>
          <w:rFonts w:hint="eastAsia" w:ascii="仿宋_GB2312" w:eastAsia="仿宋_GB2312" w:cs="Times New Roman"/>
          <w:sz w:val="32"/>
          <w:szCs w:val="32"/>
        </w:rPr>
        <w:t>三)卫生健康支出支出(类)行政事业单位医疗(款</w:t>
      </w:r>
      <w:r>
        <w:rPr>
          <w:rFonts w:hint="eastAsia" w:ascii="仿宋_GB2312" w:eastAsia="仿宋_GB2312" w:cs="Times New Roman"/>
          <w:sz w:val="32"/>
          <w:szCs w:val="32"/>
          <w:lang w:eastAsia="zh-CN"/>
        </w:rPr>
        <w:t>）</w:t>
      </w:r>
    </w:p>
    <w:p>
      <w:pPr>
        <w:rPr>
          <w:rFonts w:hint="eastAsia" w:ascii="仿宋_GB2312" w:eastAsia="仿宋_GB2312" w:cs="Times New Roman"/>
          <w:sz w:val="32"/>
          <w:szCs w:val="32"/>
        </w:rPr>
      </w:pPr>
      <w:r>
        <w:rPr>
          <w:rFonts w:hint="eastAsia" w:ascii="仿宋_GB2312" w:eastAsia="仿宋_GB2312" w:cs="Times New Roman"/>
          <w:sz w:val="32"/>
          <w:szCs w:val="32"/>
        </w:rPr>
        <w:t>其他行政事业单位医疗支出(项):指反映财政部门集中安排的行政单位基本医疗保险缴费经费,未参加医疗保险的行政单位的公费医疗经费,按国家规定享受离休人员、红军战士待遇员的医疗经费。</w:t>
      </w:r>
    </w:p>
    <w:p>
      <w:pPr>
        <w:rPr>
          <w:rFonts w:hint="eastAsia" w:ascii="仿宋_GB2312" w:eastAsia="仿宋_GB2312" w:cs="Times New Roman"/>
          <w:sz w:val="32"/>
          <w:szCs w:val="32"/>
        </w:rPr>
      </w:pPr>
      <w:r>
        <w:rPr>
          <w:rFonts w:hint="eastAsia" w:ascii="仿宋_GB2312" w:eastAsia="仿宋_GB2312" w:cs="Times New Roman"/>
          <w:sz w:val="32"/>
          <w:szCs w:val="32"/>
        </w:rPr>
        <w:t>(四)住房保障支出(类)住房改革支出（款）</w:t>
      </w:r>
    </w:p>
    <w:p>
      <w:pPr>
        <w:rPr>
          <w:rFonts w:hint="eastAsia" w:ascii="仿宋_GB2312" w:eastAsia="仿宋_GB2312" w:cs="Times New Roman"/>
          <w:sz w:val="32"/>
          <w:szCs w:val="32"/>
        </w:rPr>
      </w:pPr>
      <w:r>
        <w:rPr>
          <w:rFonts w:hint="eastAsia" w:ascii="仿宋_GB2312" w:eastAsia="仿宋_GB2312" w:cs="Times New Roman"/>
          <w:sz w:val="32"/>
          <w:szCs w:val="32"/>
        </w:rPr>
        <w:t>住房公积金(项):指反映行政事业单位按人力资源和社会保障部、财政部规定的基本工资和津贴补贴以及规定比例为职工缴纳的住房公积金。</w:t>
      </w:r>
    </w:p>
    <w:p>
      <w:pPr>
        <w:rPr>
          <w:rFonts w:ascii="仿宋_GB2312" w:eastAsia="仿宋_GB2312" w:cs="Times New Roman"/>
          <w:sz w:val="32"/>
          <w:szCs w:val="32"/>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roma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Fonts w:cs="Times New Roman"/>
      </w:rPr>
    </w:pPr>
  </w:p>
  <w:p>
    <w:pPr>
      <w:pStyle w:val="4"/>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A778CA"/>
    <w:multiLevelType w:val="singleLevel"/>
    <w:tmpl w:val="59A778CA"/>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076E1D"/>
    <w:rsid w:val="000429DB"/>
    <w:rsid w:val="00066060"/>
    <w:rsid w:val="008110CC"/>
    <w:rsid w:val="00C04C9A"/>
    <w:rsid w:val="00CB427A"/>
    <w:rsid w:val="00F500B9"/>
    <w:rsid w:val="01992CBB"/>
    <w:rsid w:val="022502CD"/>
    <w:rsid w:val="05EB1609"/>
    <w:rsid w:val="08EE0B31"/>
    <w:rsid w:val="0A326819"/>
    <w:rsid w:val="0A9107E6"/>
    <w:rsid w:val="0AC103F3"/>
    <w:rsid w:val="0CBF216E"/>
    <w:rsid w:val="0E5D5DF3"/>
    <w:rsid w:val="0FCB58D0"/>
    <w:rsid w:val="11427CB1"/>
    <w:rsid w:val="139E3D52"/>
    <w:rsid w:val="15A958FF"/>
    <w:rsid w:val="162B4B72"/>
    <w:rsid w:val="18AC060B"/>
    <w:rsid w:val="19076E1D"/>
    <w:rsid w:val="1EBD751D"/>
    <w:rsid w:val="1F117155"/>
    <w:rsid w:val="204B45CE"/>
    <w:rsid w:val="25705B71"/>
    <w:rsid w:val="2A5F3382"/>
    <w:rsid w:val="2D4F2EA5"/>
    <w:rsid w:val="2DBB222D"/>
    <w:rsid w:val="31D40AAE"/>
    <w:rsid w:val="33BA64AD"/>
    <w:rsid w:val="38B46D2C"/>
    <w:rsid w:val="3BD871B8"/>
    <w:rsid w:val="3CF55A87"/>
    <w:rsid w:val="3F5C3122"/>
    <w:rsid w:val="429A727D"/>
    <w:rsid w:val="4C0B7195"/>
    <w:rsid w:val="4D3B293C"/>
    <w:rsid w:val="51B40312"/>
    <w:rsid w:val="57CC144D"/>
    <w:rsid w:val="5849606A"/>
    <w:rsid w:val="61F32950"/>
    <w:rsid w:val="62B20F12"/>
    <w:rsid w:val="641E7445"/>
    <w:rsid w:val="71452C49"/>
    <w:rsid w:val="72E23348"/>
    <w:rsid w:val="73224148"/>
    <w:rsid w:val="776E35B0"/>
    <w:rsid w:val="7B4102B0"/>
    <w:rsid w:val="7F0C59E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link w:val="9"/>
    <w:qFormat/>
    <w:uiPriority w:val="99"/>
    <w:pPr>
      <w:keepNext/>
      <w:keepLines/>
      <w:spacing w:line="416" w:lineRule="auto"/>
      <w:outlineLvl w:val="1"/>
    </w:pPr>
    <w:rPr>
      <w:rFonts w:ascii="Arial" w:hAnsi="Arial" w:eastAsia="黑体" w:cs="Arial"/>
      <w:b/>
      <w:bCs/>
      <w:sz w:val="32"/>
      <w:szCs w:val="32"/>
    </w:rPr>
  </w:style>
  <w:style w:type="paragraph" w:styleId="3">
    <w:name w:val="heading 3"/>
    <w:basedOn w:val="1"/>
    <w:next w:val="1"/>
    <w:unhideWhenUsed/>
    <w:qFormat/>
    <w:locked/>
    <w:uiPriority w:val="0"/>
    <w:pPr>
      <w:keepNext/>
      <w:keepLines/>
      <w:spacing w:before="260" w:beforeLines="0" w:beforeAutospacing="0" w:after="260" w:afterLines="0" w:afterAutospacing="0" w:line="413" w:lineRule="auto"/>
      <w:outlineLvl w:val="2"/>
    </w:pPr>
    <w:rPr>
      <w:b/>
      <w:sz w:val="32"/>
    </w:rPr>
  </w:style>
  <w:style w:type="character" w:default="1" w:styleId="7">
    <w:name w:val="Default Paragraph Font"/>
    <w:semiHidden/>
    <w:qFormat/>
    <w:uiPriority w:val="99"/>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0"/>
    <w:qFormat/>
    <w:uiPriority w:val="99"/>
    <w:pPr>
      <w:tabs>
        <w:tab w:val="center" w:pos="4153"/>
        <w:tab w:val="right" w:pos="8306"/>
      </w:tabs>
      <w:snapToGrid w:val="0"/>
      <w:jc w:val="left"/>
    </w:pPr>
    <w:rPr>
      <w:sz w:val="18"/>
      <w:szCs w:val="18"/>
    </w:rPr>
  </w:style>
  <w:style w:type="paragraph" w:styleId="5">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8">
    <w:name w:val="page number"/>
    <w:basedOn w:val="7"/>
    <w:qFormat/>
    <w:uiPriority w:val="99"/>
  </w:style>
  <w:style w:type="character" w:customStyle="1" w:styleId="9">
    <w:name w:val="Heading 2 Char"/>
    <w:basedOn w:val="7"/>
    <w:link w:val="2"/>
    <w:semiHidden/>
    <w:qFormat/>
    <w:uiPriority w:val="9"/>
    <w:rPr>
      <w:rFonts w:asciiTheme="majorHAnsi" w:hAnsiTheme="majorHAnsi" w:eastAsiaTheme="majorEastAsia" w:cstheme="majorBidi"/>
      <w:b/>
      <w:bCs/>
      <w:sz w:val="32"/>
      <w:szCs w:val="32"/>
    </w:rPr>
  </w:style>
  <w:style w:type="character" w:customStyle="1" w:styleId="10">
    <w:name w:val="Footer Char"/>
    <w:basedOn w:val="7"/>
    <w:link w:val="4"/>
    <w:semiHidden/>
    <w:qFormat/>
    <w:uiPriority w:val="99"/>
    <w:rPr>
      <w:rFonts w:cs="Calibri"/>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Pages>
  <Words>353</Words>
  <Characters>2015</Characters>
  <Lines>0</Lines>
  <Paragraphs>0</Paragraphs>
  <TotalTime>21</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2018-01-17T02:36:00Z</dcterms:created>
  <dc:creator>Administrator</dc:creator>
  <cp:lastModifiedBy>牛红红</cp:lastModifiedBy>
  <cp:lastPrinted>2020-06-09T01:54:00Z</cp:lastPrinted>
  <dcterms:modified xsi:type="dcterms:W3CDTF">2020-06-19T09:18:57Z</dcterms:modified>
  <dc:title>附件2：2018年市级部门预算说明和预算公开表</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